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Überschrift"/>
        <w:keepNext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480" w:line="276" w:lineRule="auto"/>
        <w:ind w:left="0" w:right="0" w:firstLine="0"/>
        <w:jc w:val="left"/>
        <w:rPr>
          <w:rFonts w:ascii="Cambria" w:cs="Cambria" w:hAnsi="Cambria" w:eastAsia="Cambria"/>
          <w:outline w:val="0"/>
          <w:color w:val="42425f"/>
          <w:sz w:val="28"/>
          <w:szCs w:val="28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Cambria" w:cs="Cambria" w:hAnsi="Cambria" w:eastAsia="Cambria"/>
          <w:outline w:val="0"/>
          <w:color w:val="42425f"/>
          <w:sz w:val="28"/>
          <w:szCs w:val="28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Core Workflow Diagram</w:t>
      </w:r>
    </w:p>
    <w:p>
      <w:pPr>
        <w:pStyle w:val="Tex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20"/>
        <w:ind w:left="0" w:right="0" w:firstLine="0"/>
        <w:jc w:val="both"/>
        <w:rPr>
          <w:rFonts w:ascii="Trebuchet MS" w:cs="Trebuchet MS" w:hAnsi="Trebuchet MS" w:eastAsia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 xml:space="preserve">Basic workflow with mandatory </w:t>
      </w:r>
      <w:r>
        <w:rPr>
          <w:rFonts w:ascii="Trebuchet MS" w:hAnsi="Trebuchet MS"/>
          <w:b w:val="1"/>
          <w:bCs w:val="1"/>
          <w:i w:val="1"/>
          <w:iCs w:val="1"/>
          <w:outline w:val="0"/>
          <w:color w:val="42425f"/>
          <w:u w:color="000000"/>
          <w:rtl w:val="0"/>
          <w:lang w:val="de-DE"/>
          <w14:textFill>
            <w14:solidFill>
              <w14:srgbClr w14:val="424260"/>
            </w14:solidFill>
          </w14:textFill>
        </w:rPr>
        <w:t>(M)</w:t>
      </w: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 xml:space="preserve"> and suggested </w:t>
      </w:r>
      <w:r>
        <w:rPr>
          <w:rFonts w:ascii="Trebuchet MS" w:hAnsi="Trebuchet MS"/>
          <w:b w:val="1"/>
          <w:bCs w:val="1"/>
          <w:i w:val="1"/>
          <w:iCs w:val="1"/>
          <w:outline w:val="0"/>
          <w:color w:val="42425f"/>
          <w:u w:color="000000"/>
          <w:rtl w:val="0"/>
          <w:lang w:val="de-DE"/>
          <w14:textFill>
            <w14:solidFill>
              <w14:srgbClr w14:val="424260"/>
            </w14:solidFill>
          </w14:textFill>
        </w:rPr>
        <w:t>(S)</w:t>
      </w: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 xml:space="preserve"> modules.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StarTools workflow allows some flexibility. The diagram is not meant to show a fixed flow but to help beginners putting the moduls in a meaningful order.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Within 'Tracking On' block, StarTools allows the execution of steps in a different order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Loading, stretching and noise reduction steps offer two options each.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Mandatory masks are shown. Sharp will require an inverse star mask. Decon module requires masking out singularities only.</w:t>
      </w:r>
      <w:r>
        <w:rPr>
          <w:rFonts w:ascii="Trebuchet MS" w:cs="Trebuchet MS" w:hAnsi="Trebuchet MS" w:eastAsia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397599</wp:posOffset>
            </wp:positionV>
            <wp:extent cx="6120057" cy="574005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3"/>
                <wp:lineTo x="0" y="21613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T Core Workflow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740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Überschrift"/>
        <w:keepNext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480" w:line="276" w:lineRule="auto"/>
        <w:ind w:left="0" w:right="0" w:firstLine="0"/>
        <w:jc w:val="left"/>
        <w:rPr>
          <w:rFonts w:ascii="Cambria" w:cs="Cambria" w:hAnsi="Cambria" w:eastAsia="Cambria"/>
          <w:outline w:val="0"/>
          <w:color w:val="42425f"/>
          <w:sz w:val="28"/>
          <w:szCs w:val="28"/>
          <w:u w:color="000000"/>
          <w:rtl w:val="0"/>
          <w14:textFill>
            <w14:solidFill>
              <w14:srgbClr w14:val="424260"/>
            </w14:solidFill>
          </w14:textFill>
        </w:rPr>
      </w:pPr>
    </w:p>
    <w:p>
      <w:pPr>
        <w:pStyle w:val="Überschrift"/>
        <w:keepNext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480" w:line="276" w:lineRule="auto"/>
        <w:ind w:left="0" w:right="0" w:firstLine="0"/>
        <w:jc w:val="left"/>
        <w:rPr>
          <w:rFonts w:ascii="Cambria" w:cs="Cambria" w:hAnsi="Cambria" w:eastAsia="Cambria"/>
          <w:outline w:val="0"/>
          <w:color w:val="42425f"/>
          <w:sz w:val="28"/>
          <w:szCs w:val="28"/>
          <w:u w:color="000000"/>
          <w:rtl w:val="0"/>
          <w14:textFill>
            <w14:solidFill>
              <w14:srgbClr w14:val="424260"/>
            </w14:solidFill>
          </w14:textFill>
        </w:rPr>
      </w:pPr>
    </w:p>
    <w:p>
      <w:pPr>
        <w:pStyle w:val="Überschrift"/>
        <w:keepNext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480" w:line="276" w:lineRule="auto"/>
        <w:ind w:left="0" w:right="0" w:firstLine="0"/>
        <w:jc w:val="left"/>
        <w:rPr>
          <w:rFonts w:ascii="Cambria" w:cs="Cambria" w:hAnsi="Cambria" w:eastAsia="Cambria"/>
          <w:outline w:val="0"/>
          <w:color w:val="42425f"/>
          <w:sz w:val="28"/>
          <w:szCs w:val="28"/>
          <w:u w:color="000000"/>
          <w:rtl w:val="0"/>
          <w14:textFill>
            <w14:solidFill>
              <w14:srgbClr w14:val="424260"/>
            </w14:solidFill>
          </w14:textFill>
        </w:rPr>
      </w:pPr>
    </w:p>
    <w:p>
      <w:pPr>
        <w:pStyle w:val="Überschrift"/>
        <w:keepNext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480" w:line="276" w:lineRule="auto"/>
        <w:ind w:left="0" w:right="0" w:firstLine="0"/>
        <w:jc w:val="left"/>
        <w:rPr>
          <w:rFonts w:ascii="Cambria" w:cs="Cambria" w:hAnsi="Cambria" w:eastAsia="Cambria"/>
          <w:outline w:val="0"/>
          <w:color w:val="42425f"/>
          <w:sz w:val="28"/>
          <w:szCs w:val="28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Cambria" w:cs="Cambria" w:hAnsi="Cambria" w:eastAsia="Cambria"/>
          <w:outline w:val="0"/>
          <w:color w:val="42425f"/>
          <w:sz w:val="28"/>
          <w:szCs w:val="28"/>
          <w:u w:color="000000"/>
          <w:rtl w:val="0"/>
          <w:lang w:val="de-DE"/>
          <w14:textFill>
            <w14:solidFill>
              <w14:srgbClr w14:val="424260"/>
            </w14:solidFill>
          </w14:textFill>
        </w:rPr>
        <w:t>Advanced</w:t>
      </w:r>
      <w:r>
        <w:rPr>
          <w:rFonts w:ascii="Cambria" w:cs="Cambria" w:hAnsi="Cambria" w:eastAsia="Cambria"/>
          <w:outline w:val="0"/>
          <w:color w:val="42425f"/>
          <w:sz w:val="28"/>
          <w:szCs w:val="28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 xml:space="preserve"> Workflow Diagram</w:t>
      </w:r>
    </w:p>
    <w:p>
      <w:pPr>
        <w:pStyle w:val="Tex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20"/>
        <w:ind w:left="0" w:right="0" w:firstLine="0"/>
        <w:jc w:val="both"/>
        <w:rPr>
          <w:rFonts w:ascii="Trebuchet MS" w:cs="Trebuchet MS" w:hAnsi="Trebuchet MS" w:eastAsia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 xml:space="preserve">Advanced workflow with mandatory </w:t>
      </w:r>
      <w:r>
        <w:rPr>
          <w:rFonts w:ascii="Trebuchet MS" w:hAnsi="Trebuchet MS"/>
          <w:b w:val="1"/>
          <w:bCs w:val="1"/>
          <w:i w:val="1"/>
          <w:iCs w:val="1"/>
          <w:outline w:val="0"/>
          <w:color w:val="42425f"/>
          <w:u w:color="000000"/>
          <w:rtl w:val="0"/>
          <w:lang w:val="de-DE"/>
          <w14:textFill>
            <w14:solidFill>
              <w14:srgbClr w14:val="424260"/>
            </w14:solidFill>
          </w14:textFill>
        </w:rPr>
        <w:t>(M)</w:t>
      </w: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 xml:space="preserve"> and suggested </w:t>
      </w:r>
      <w:r>
        <w:rPr>
          <w:rFonts w:ascii="Trebuchet MS" w:hAnsi="Trebuchet MS"/>
          <w:b w:val="1"/>
          <w:bCs w:val="1"/>
          <w:i w:val="1"/>
          <w:iCs w:val="1"/>
          <w:outline w:val="0"/>
          <w:color w:val="42425f"/>
          <w:u w:color="000000"/>
          <w:rtl w:val="0"/>
          <w:lang w:val="de-DE"/>
          <w14:textFill>
            <w14:solidFill>
              <w14:srgbClr w14:val="424260"/>
            </w14:solidFill>
          </w14:textFill>
        </w:rPr>
        <w:t>(S)</w:t>
      </w: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 xml:space="preserve"> modules to the left and optional modules to the right. 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StarTools workflow allows some flexibility. The diagram is meant to provide a starting point for the use of optional modules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Please check the 'Special Techniques' sections in the 'User Notes' chapter to find more hints to explore the versatile use of modules in different slots.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Within 'Tracking On' and 'Tracking Off' blocks, StarTools allows the execution of steps in a different order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Loading, stretching and noise reduction steps offer two options each.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Mandatory masks are shown. Sharp and Flux will require an inverse star mask. Decon module requires masking out singularities only. Shrink, Repair and Synth work on a mask including stars only.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>Masks may be used optionally in some other modules including Wipe, Life, Color, Filter, Layer, Heal</w:t>
      </w:r>
    </w:p>
    <w:p>
      <w:pPr>
        <w:pStyle w:val="Text"/>
        <w:numPr>
          <w:ilvl w:val="0"/>
          <w:numId w:val="2"/>
        </w:numPr>
        <w:bidi w:val="0"/>
        <w:spacing w:after="60" w:line="264" w:lineRule="auto"/>
        <w:ind w:right="0"/>
        <w:jc w:val="both"/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</w:pPr>
      <w:r>
        <w:rPr>
          <w:rFonts w:ascii="Trebuchet MS" w:hAnsi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t xml:space="preserve">Layer and Flux modules are not shown. These may be used in many different locations depending on purpose </w:t>
      </w:r>
    </w:p>
    <w:p>
      <w:pPr>
        <w:pStyle w:val="Tex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60" w:line="264" w:lineRule="auto"/>
        <w:ind w:left="0" w:right="0" w:firstLine="0"/>
        <w:jc w:val="both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br w:type="page"/>
      </w:r>
    </w:p>
    <w:p>
      <w:pPr>
        <w:pStyle w:val="Tex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60" w:line="264" w:lineRule="auto"/>
        <w:ind w:left="0" w:right="0" w:firstLine="0"/>
        <w:jc w:val="both"/>
        <w:rPr>
          <w:rtl w:val="0"/>
        </w:rPr>
      </w:pPr>
      <w:r>
        <w:rPr>
          <w:rFonts w:ascii="Trebuchet MS" w:cs="Trebuchet MS" w:hAnsi="Trebuchet MS" w:eastAsia="Trebuchet MS"/>
          <w:outline w:val="0"/>
          <w:color w:val="42425f"/>
          <w:u w:color="000000"/>
          <w:rtl w:val="0"/>
          <w:lang w:val="en-US"/>
          <w14:textFill>
            <w14:solidFill>
              <w14:srgbClr w14:val="424260"/>
            </w14:solidFill>
          </w14:textFill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467690</wp:posOffset>
            </wp:positionV>
            <wp:extent cx="6120057" cy="8817451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T Advanced Workflow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8174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31"/>
  </w:abstractNum>
  <w:abstractNum w:abstractNumId="1">
    <w:multiLevelType w:val="hybridMultilevel"/>
    <w:styleLink w:val="Importierter Stil: 31"/>
    <w:lvl w:ilvl="0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140" w:hanging="18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Überschrift">
    <w:name w:val="Überschrift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31">
    <w:name w:val="Importierter Stil: 3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